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0" w:firstLine="720"/>
        <w:jc w:val="both"/>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EL TEATRO DESDE 1939 A FINALES DE LOS AÑOS 70</w:t>
      </w:r>
    </w:p>
    <w:p w:rsidR="00000000" w:rsidDel="00000000" w:rsidP="00000000" w:rsidRDefault="00000000" w:rsidRPr="00000000" w14:paraId="0000000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finalizar la Guerra Civil Española, el teatro  se enfrenta a graves problemas. Desde el punto de vista económico, sus condicionantes comerciales empeoran: solo las clases más acomodadas podrán asistir a representaciones. Desde el punto de vista político y social,  se produce un corte muy profundo con respecto al teatro anterior, bien por la muerte de algunos de los grandes maestros (Valle-Inclán, Unamuno y García Lorca) o al exilio de otros (Max Aub, Alejandro Casona, Rafael Alberti); además la censura impide todo contenido político o crítico en las obras. Esta ruptura se produce, sobre todo, con las tendencias más innovadoras, mientras que el teatro comercial continúa en su misma línea. Por otra parte, el cine se convierte en el gran espectáculo de masas y desplaza al teatro en los gustos del público.  </w:t>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período nos encontramos con tres tendencias principales:</w:t>
      </w:r>
    </w:p>
    <w:p w:rsidR="00000000" w:rsidDel="00000000" w:rsidP="00000000" w:rsidRDefault="00000000" w:rsidRPr="00000000" w14:paraId="00000006">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TEATRO DE CONSUMO</w:t>
      </w:r>
    </w:p>
    <w:p w:rsidR="00000000" w:rsidDel="00000000" w:rsidP="00000000" w:rsidRDefault="00000000" w:rsidRPr="00000000" w14:paraId="0000000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Teatro de continuidad</w:t>
      </w:r>
    </w:p>
    <w:p w:rsidR="00000000" w:rsidDel="00000000" w:rsidP="00000000" w:rsidRDefault="00000000" w:rsidRPr="00000000" w14:paraId="000000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w:t>
      </w:r>
      <w:r w:rsidDel="00000000" w:rsidR="00000000" w:rsidRPr="00000000">
        <w:rPr>
          <w:rFonts w:ascii="Times New Roman" w:cs="Times New Roman" w:eastAsia="Times New Roman" w:hAnsi="Times New Roman"/>
          <w:b w:val="1"/>
          <w:sz w:val="24"/>
          <w:szCs w:val="24"/>
          <w:rtl w:val="0"/>
        </w:rPr>
        <w:t xml:space="preserve">los años 40 y 50</w:t>
      </w:r>
      <w:r w:rsidDel="00000000" w:rsidR="00000000" w:rsidRPr="00000000">
        <w:rPr>
          <w:rFonts w:ascii="Times New Roman" w:cs="Times New Roman" w:eastAsia="Times New Roman" w:hAnsi="Times New Roman"/>
          <w:sz w:val="24"/>
          <w:szCs w:val="24"/>
          <w:rtl w:val="0"/>
        </w:rPr>
        <w:t xml:space="preserve"> se representa un teatro oficial: el llamado </w:t>
      </w:r>
      <w:r w:rsidDel="00000000" w:rsidR="00000000" w:rsidRPr="00000000">
        <w:rPr>
          <w:rFonts w:ascii="Times New Roman" w:cs="Times New Roman" w:eastAsia="Times New Roman" w:hAnsi="Times New Roman"/>
          <w:b w:val="1"/>
          <w:sz w:val="24"/>
          <w:szCs w:val="24"/>
          <w:rtl w:val="0"/>
        </w:rPr>
        <w:t xml:space="preserve">drama burgués</w:t>
      </w:r>
      <w:r w:rsidDel="00000000" w:rsidR="00000000" w:rsidRPr="00000000">
        <w:rPr>
          <w:rFonts w:ascii="Times New Roman" w:cs="Times New Roman" w:eastAsia="Times New Roman" w:hAnsi="Times New Roman"/>
          <w:sz w:val="24"/>
          <w:szCs w:val="24"/>
          <w:rtl w:val="0"/>
        </w:rPr>
        <w:t xml:space="preserve">. Es una comedia intrascendente, pretendidamente costumbrista, continuadora de Benavente. Los temas son los propios de la comedia burguesa: honor, celos, infidelidades, conflictos generacionales, que siempre alcanzaban un buen fin. El autor más destacado es </w:t>
      </w:r>
      <w:r w:rsidDel="00000000" w:rsidR="00000000" w:rsidRPr="00000000">
        <w:rPr>
          <w:rFonts w:ascii="Times New Roman" w:cs="Times New Roman" w:eastAsia="Times New Roman" w:hAnsi="Times New Roman"/>
          <w:b w:val="1"/>
          <w:sz w:val="24"/>
          <w:szCs w:val="24"/>
          <w:rtl w:val="0"/>
        </w:rPr>
        <w:t xml:space="preserve">José María Pemán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La viudita naviera).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after="0" w:line="240" w:lineRule="auto"/>
        <w:ind w:firstLine="708"/>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Teatro de humor</w:t>
      </w:r>
    </w:p>
    <w:p w:rsidR="00000000" w:rsidDel="00000000" w:rsidP="00000000" w:rsidRDefault="00000000" w:rsidRPr="00000000" w14:paraId="0000000F">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manifestación más interesante de este período es la de un teatro que busca renovar la risa, intentando provocarla mediante situaciones, personajes y argumentos  inverosímiles, casi absurdos. Esta forma de hacer teatro había sido iniciada antes  de la Guerra por </w:t>
      </w:r>
      <w:r w:rsidDel="00000000" w:rsidR="00000000" w:rsidRPr="00000000">
        <w:rPr>
          <w:rFonts w:ascii="Times New Roman" w:cs="Times New Roman" w:eastAsia="Times New Roman" w:hAnsi="Times New Roman"/>
          <w:b w:val="1"/>
          <w:sz w:val="24"/>
          <w:szCs w:val="24"/>
          <w:rtl w:val="0"/>
        </w:rPr>
        <w:t xml:space="preserve">Jardiel Poncela</w:t>
      </w:r>
      <w:r w:rsidDel="00000000" w:rsidR="00000000" w:rsidRPr="00000000">
        <w:rPr>
          <w:rFonts w:ascii="Times New Roman" w:cs="Times New Roman" w:eastAsia="Times New Roman" w:hAnsi="Times New Roman"/>
          <w:sz w:val="24"/>
          <w:szCs w:val="24"/>
          <w:rtl w:val="0"/>
        </w:rPr>
        <w:t xml:space="preserve"> y se continúa ahora con este mismo autor, al que se añaden </w:t>
      </w:r>
      <w:r w:rsidDel="00000000" w:rsidR="00000000" w:rsidRPr="00000000">
        <w:rPr>
          <w:rFonts w:ascii="Times New Roman" w:cs="Times New Roman" w:eastAsia="Times New Roman" w:hAnsi="Times New Roman"/>
          <w:b w:val="1"/>
          <w:sz w:val="24"/>
          <w:szCs w:val="24"/>
          <w:rtl w:val="0"/>
        </w:rPr>
        <w:t xml:space="preserve">Edgar Neville</w:t>
      </w:r>
      <w:r w:rsidDel="00000000" w:rsidR="00000000" w:rsidRPr="00000000">
        <w:rPr>
          <w:rFonts w:ascii="Times New Roman" w:cs="Times New Roman" w:eastAsia="Times New Roman" w:hAnsi="Times New Roman"/>
          <w:sz w:val="24"/>
          <w:szCs w:val="24"/>
          <w:rtl w:val="0"/>
        </w:rPr>
        <w:t xml:space="preserve"> y, sobre todo, </w:t>
      </w:r>
      <w:r w:rsidDel="00000000" w:rsidR="00000000" w:rsidRPr="00000000">
        <w:rPr>
          <w:rFonts w:ascii="Times New Roman" w:cs="Times New Roman" w:eastAsia="Times New Roman" w:hAnsi="Times New Roman"/>
          <w:b w:val="1"/>
          <w:sz w:val="24"/>
          <w:szCs w:val="24"/>
          <w:rtl w:val="0"/>
        </w:rPr>
        <w:t xml:space="preserve">Miguel Mihura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1">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obras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Poncela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buscan lo insólito de situaciones y personajes, el absurdo por el absurdo, en detrimento de la estructura dramática de sus obras. Entre ellas destacan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Eloísa está debajo de un almendro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 mejor obra, 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Los ladrones somos gente honrada.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Mihura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evolucionó hacia un teatro más comercial. Continuó sorprendiendo al público con la espontaneidad y lo insólito de los conflictos, pero profundizó en los caracteres, dotándolos de credibilidad y ternura. Entre sus obras destacan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Tres sombreros de copa,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Maribel y la extraña familia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Ninette y un señor de Murcia.</w:t>
      </w:r>
      <w:r w:rsidDel="00000000" w:rsidR="00000000" w:rsidRPr="00000000">
        <w:rPr>
          <w:rtl w:val="0"/>
        </w:rPr>
      </w:r>
    </w:p>
    <w:p w:rsidR="00000000" w:rsidDel="00000000" w:rsidP="00000000" w:rsidRDefault="00000000" w:rsidRPr="00000000" w14:paraId="0000001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INTENTOS RENOVADORES</w:t>
      </w:r>
    </w:p>
    <w:p w:rsidR="00000000" w:rsidDel="00000000" w:rsidP="00000000" w:rsidRDefault="00000000" w:rsidRPr="00000000" w14:paraId="0000001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trata de un conjunto de obras que pretenden representar los conflictos existenciales del ser humano (soledad, incomunicación, falta de sentido vital, melancolía, fluir del tiempo, etc.). Las obras de esta corriente apuntan la crítica social, pero la censura impedirá cualquier denuncia explícita. </w:t>
      </w:r>
      <w:r w:rsidDel="00000000" w:rsidR="00000000" w:rsidRPr="00000000">
        <w:rPr>
          <w:rFonts w:ascii="Times New Roman" w:cs="Times New Roman" w:eastAsia="Times New Roman" w:hAnsi="Times New Roman"/>
          <w:i w:val="1"/>
          <w:sz w:val="24"/>
          <w:szCs w:val="24"/>
          <w:rtl w:val="0"/>
        </w:rPr>
        <w:t xml:space="preserve">Historia de una escalera</w:t>
      </w:r>
      <w:r w:rsidDel="00000000" w:rsidR="00000000" w:rsidRPr="00000000">
        <w:rPr>
          <w:rFonts w:ascii="Times New Roman" w:cs="Times New Roman" w:eastAsia="Times New Roman" w:hAnsi="Times New Roman"/>
          <w:sz w:val="24"/>
          <w:szCs w:val="24"/>
          <w:rtl w:val="0"/>
        </w:rPr>
        <w:t xml:space="preserve"> (1949), de </w:t>
      </w:r>
      <w:r w:rsidDel="00000000" w:rsidR="00000000" w:rsidRPr="00000000">
        <w:rPr>
          <w:rFonts w:ascii="Times New Roman" w:cs="Times New Roman" w:eastAsia="Times New Roman" w:hAnsi="Times New Roman"/>
          <w:b w:val="1"/>
          <w:sz w:val="24"/>
          <w:szCs w:val="24"/>
          <w:rtl w:val="0"/>
        </w:rPr>
        <w:t xml:space="preserve">Antonio Buero Vallejo</w:t>
      </w:r>
      <w:r w:rsidDel="00000000" w:rsidR="00000000" w:rsidRPr="00000000">
        <w:rPr>
          <w:rFonts w:ascii="Times New Roman" w:cs="Times New Roman" w:eastAsia="Times New Roman" w:hAnsi="Times New Roman"/>
          <w:sz w:val="24"/>
          <w:szCs w:val="24"/>
          <w:rtl w:val="0"/>
        </w:rPr>
        <w:t xml:space="preserve">, introduce esta tendencia. En esta obra se ofrecía por primera vez en la Posguerra una versión no idealizada de la realidad. En ella se daba entrada a la amargura, la esperanza y las frustraciones de una sociedad inmóvil. Podemos dividir la producción de Buero Vallejo en tres etapas. </w:t>
      </w:r>
      <w:r w:rsidDel="00000000" w:rsidR="00000000" w:rsidRPr="00000000">
        <w:rPr>
          <w:rFonts w:ascii="Times New Roman" w:cs="Times New Roman" w:eastAsia="Times New Roman" w:hAnsi="Times New Roman"/>
          <w:b w:val="1"/>
          <w:sz w:val="24"/>
          <w:szCs w:val="24"/>
          <w:rtl w:val="0"/>
        </w:rPr>
        <w:t xml:space="preserve">Etapa realista</w:t>
      </w:r>
      <w:r w:rsidDel="00000000" w:rsidR="00000000" w:rsidRPr="00000000">
        <w:rPr>
          <w:rFonts w:ascii="Times New Roman" w:cs="Times New Roman" w:eastAsia="Times New Roman" w:hAnsi="Times New Roman"/>
          <w:sz w:val="24"/>
          <w:szCs w:val="24"/>
          <w:rtl w:val="0"/>
        </w:rPr>
        <w:t xml:space="preserve">: El tema central lo constituye la realidad contemporánea. Destacan </w:t>
      </w:r>
      <w:r w:rsidDel="00000000" w:rsidR="00000000" w:rsidRPr="00000000">
        <w:rPr>
          <w:rFonts w:ascii="Times New Roman" w:cs="Times New Roman" w:eastAsia="Times New Roman" w:hAnsi="Times New Roman"/>
          <w:i w:val="1"/>
          <w:sz w:val="24"/>
          <w:szCs w:val="24"/>
          <w:rtl w:val="0"/>
        </w:rPr>
        <w:t xml:space="preserve">Historia de una escalera, En la ardiente oscuridad </w:t>
      </w:r>
      <w:r w:rsidDel="00000000" w:rsidR="00000000" w:rsidRPr="00000000">
        <w:rPr>
          <w:rFonts w:ascii="Times New Roman" w:cs="Times New Roman" w:eastAsia="Times New Roman" w:hAnsi="Times New Roman"/>
          <w:sz w:val="24"/>
          <w:szCs w:val="24"/>
          <w:rtl w:val="0"/>
        </w:rPr>
        <w:t xml:space="preserve">(1950</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Etapa de reflexión histórica: </w:t>
      </w:r>
      <w:r w:rsidDel="00000000" w:rsidR="00000000" w:rsidRPr="00000000">
        <w:rPr>
          <w:rFonts w:ascii="Times New Roman" w:cs="Times New Roman" w:eastAsia="Times New Roman" w:hAnsi="Times New Roman"/>
          <w:sz w:val="24"/>
          <w:szCs w:val="24"/>
          <w:rtl w:val="0"/>
        </w:rPr>
        <w:t xml:space="preserve">Se inicia en 1958. Escribe una serie de obras de tema histórico en las que se sirve del pasado para reflexionar sobre el presente, con lo que consigue burlar la censura. A este recurso se le denominó </w:t>
      </w:r>
      <w:r w:rsidDel="00000000" w:rsidR="00000000" w:rsidRPr="00000000">
        <w:rPr>
          <w:rFonts w:ascii="Times New Roman" w:cs="Times New Roman" w:eastAsia="Times New Roman" w:hAnsi="Times New Roman"/>
          <w:i w:val="1"/>
          <w:sz w:val="24"/>
          <w:szCs w:val="24"/>
          <w:rtl w:val="0"/>
        </w:rPr>
        <w:t xml:space="preserve">posibilismo. </w:t>
      </w:r>
      <w:r w:rsidDel="00000000" w:rsidR="00000000" w:rsidRPr="00000000">
        <w:rPr>
          <w:rFonts w:ascii="Times New Roman" w:cs="Times New Roman" w:eastAsia="Times New Roman" w:hAnsi="Times New Roman"/>
          <w:sz w:val="24"/>
          <w:szCs w:val="24"/>
          <w:rtl w:val="0"/>
        </w:rPr>
        <w:t xml:space="preserve">Pertenecen a esta etapa </w:t>
      </w:r>
      <w:r w:rsidDel="00000000" w:rsidR="00000000" w:rsidRPr="00000000">
        <w:rPr>
          <w:rFonts w:ascii="Times New Roman" w:cs="Times New Roman" w:eastAsia="Times New Roman" w:hAnsi="Times New Roman"/>
          <w:i w:val="1"/>
          <w:sz w:val="24"/>
          <w:szCs w:val="24"/>
          <w:rtl w:val="0"/>
        </w:rPr>
        <w:t xml:space="preserve">Un soñador para un pueblo </w:t>
      </w:r>
      <w:r w:rsidDel="00000000" w:rsidR="00000000" w:rsidRPr="00000000">
        <w:rPr>
          <w:rFonts w:ascii="Times New Roman" w:cs="Times New Roman" w:eastAsia="Times New Roman" w:hAnsi="Times New Roman"/>
          <w:sz w:val="24"/>
          <w:szCs w:val="24"/>
          <w:rtl w:val="0"/>
        </w:rPr>
        <w:t xml:space="preserve">(1958</w:t>
      </w:r>
      <w:r w:rsidDel="00000000" w:rsidR="00000000" w:rsidRPr="00000000">
        <w:rPr>
          <w:rFonts w:ascii="Times New Roman" w:cs="Times New Roman" w:eastAsia="Times New Roman" w:hAnsi="Times New Roman"/>
          <w:i w:val="1"/>
          <w:sz w:val="24"/>
          <w:szCs w:val="24"/>
          <w:rtl w:val="0"/>
        </w:rPr>
        <w:t xml:space="preserve">), Las Meninas, El concierto de San Ovidio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Última etapa</w:t>
      </w:r>
      <w:r w:rsidDel="00000000" w:rsidR="00000000" w:rsidRPr="00000000">
        <w:rPr>
          <w:rFonts w:ascii="Times New Roman" w:cs="Times New Roman" w:eastAsia="Times New Roman" w:hAnsi="Times New Roman"/>
          <w:sz w:val="24"/>
          <w:szCs w:val="24"/>
          <w:rtl w:val="0"/>
        </w:rPr>
        <w:t xml:space="preserve">: Se caracteriza por el punto de vista subjetivo. La acción llega al espectador a través de la visión subjetiva de uno de los personajes, que padece alguna limitación física o psíquica. Algunos títulos son </w:t>
      </w:r>
      <w:r w:rsidDel="00000000" w:rsidR="00000000" w:rsidRPr="00000000">
        <w:rPr>
          <w:rFonts w:ascii="Times New Roman" w:cs="Times New Roman" w:eastAsia="Times New Roman" w:hAnsi="Times New Roman"/>
          <w:i w:val="1"/>
          <w:sz w:val="24"/>
          <w:szCs w:val="24"/>
          <w:rtl w:val="0"/>
        </w:rPr>
        <w:t xml:space="preserve">El sueño de la razón, </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i w:val="1"/>
          <w:sz w:val="24"/>
          <w:szCs w:val="24"/>
          <w:rtl w:val="0"/>
        </w:rPr>
        <w:t xml:space="preserve">  La Fundación.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 constante en el teatro de Buero es la disyuntiva entre la lucidez crítica o la inhibición del hombre ante sus responsabilidades colectivas o individuales.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El teatro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Alfonso Sastre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impulsó la renovación de las formas dramáticas y la expresión de la crítica social. Sus obras evolucionan desde el existencialismo hacia el compromiso social. Se distinguen tres etapas.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Teatro metafísico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inquietud existencial. Destacan aquí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 sonado la muerte y Comedia sonámbula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Uranio 235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sobre la guerra atómica. Su segunda época podría definirse como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Teatro de crítica social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“ramas de la revolución”: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Escuadra hacia la muerte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(1951) sobre la destrucción de los poderosos en la Guerra Fría;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Mordaza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(1954), la tiranía de un padre de familia, oblicua condena de la dictadura. En su tercera época podría ser caracterizada como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Tragedia compleja,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una tragedia sincrética con elementos grotescos (Valle-Inclán) y el distanciamiento objetivista.     Destacan en este periodo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Crónicas romanas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taberna fantástica.</w:t>
      </w: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65"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TEATRO EXPERIMENTAL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widowControl w:val="0"/>
        <w:spacing w:after="0" w:line="240" w:lineRule="auto"/>
        <w:ind w:firstLine="705"/>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la década de los 60 y los 70, se inicia un estilo dramático diferente para tratar temas similares a los de los autores anteriores: denuncia de la injusticia y de la falta de libertad. Entre sus rasgos comunes destacan el carácter simbólico de los personajes (en muchas ocasiones son seres deshumanizados) y los objetos escenográficos (en el escenario aparecen cadenas, jaulas y otros elementos simbólicos), ruptura de la acción lineal, concepción de la representación como espectáculo, pérdida de protagonismo del texto e incorporación activa del espectador en la obra.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esta corriente destaca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Francisco Nieva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obras como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Coronada y el toro y La señora Tártara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Fernando Arrabal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cementerio de automóviles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árbol de Guernica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último, debemos recordar que en esta labor de renovación del teatro no sólo fueron importantes alguos autores, sino también algunos directores y grupos de teatro independientes como Albert Boadella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Els Joglars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Salvador Távora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Cuadra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Els Comediants, La fura dels Baus, La Cubana, Esperpento-Mediodía, Dagoll-Dagom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etc.</w:t>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tl w:val="0"/>
        </w:rPr>
      </w:r>
    </w:p>
    <w:sectPr>
      <w:footerReference r:id="rId6"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65" w:hanging="360"/>
      </w:pPr>
      <w:rPr/>
    </w:lvl>
    <w:lvl w:ilvl="1">
      <w:start w:val="1"/>
      <w:numFmt w:val="lowerLetter"/>
      <w:lvlText w:val="%2."/>
      <w:lvlJc w:val="left"/>
      <w:pPr>
        <w:ind w:left="1785" w:hanging="360"/>
      </w:pPr>
      <w:rPr/>
    </w:lvl>
    <w:lvl w:ilvl="2">
      <w:start w:val="1"/>
      <w:numFmt w:val="lowerRoman"/>
      <w:lvlText w:val="%3."/>
      <w:lvlJc w:val="right"/>
      <w:pPr>
        <w:ind w:left="2505" w:hanging="180"/>
      </w:pPr>
      <w:rPr/>
    </w:lvl>
    <w:lvl w:ilvl="3">
      <w:start w:val="1"/>
      <w:numFmt w:val="decimal"/>
      <w:lvlText w:val="%4."/>
      <w:lvlJc w:val="left"/>
      <w:pPr>
        <w:ind w:left="3225" w:hanging="360"/>
      </w:pPr>
      <w:rPr/>
    </w:lvl>
    <w:lvl w:ilvl="4">
      <w:start w:val="1"/>
      <w:numFmt w:val="lowerLetter"/>
      <w:lvlText w:val="%5."/>
      <w:lvlJc w:val="left"/>
      <w:pPr>
        <w:ind w:left="3945" w:hanging="360"/>
      </w:pPr>
      <w:rPr/>
    </w:lvl>
    <w:lvl w:ilvl="5">
      <w:start w:val="1"/>
      <w:numFmt w:val="lowerRoman"/>
      <w:lvlText w:val="%6."/>
      <w:lvlJc w:val="right"/>
      <w:pPr>
        <w:ind w:left="4665" w:hanging="180"/>
      </w:pPr>
      <w:rPr/>
    </w:lvl>
    <w:lvl w:ilvl="6">
      <w:start w:val="1"/>
      <w:numFmt w:val="decimal"/>
      <w:lvlText w:val="%7."/>
      <w:lvlJc w:val="left"/>
      <w:pPr>
        <w:ind w:left="5385" w:hanging="360"/>
      </w:pPr>
      <w:rPr/>
    </w:lvl>
    <w:lvl w:ilvl="7">
      <w:start w:val="1"/>
      <w:numFmt w:val="lowerLetter"/>
      <w:lvlText w:val="%8."/>
      <w:lvlJc w:val="left"/>
      <w:pPr>
        <w:ind w:left="6105" w:hanging="360"/>
      </w:pPr>
      <w:rPr/>
    </w:lvl>
    <w:lvl w:ilvl="8">
      <w:start w:val="1"/>
      <w:numFmt w:val="lowerRoman"/>
      <w:lvlText w:val="%9."/>
      <w:lvlJc w:val="right"/>
      <w:pPr>
        <w:ind w:left="6825" w:hanging="180"/>
      </w:pPr>
      <w:rPr/>
    </w:lvl>
  </w:abstractNum>
  <w:abstractNum w:abstractNumId="2">
    <w:lvl w:ilvl="0">
      <w:start w:val="1"/>
      <w:numFmt w:val="lowerLetter"/>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